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Ancient Art</w:t>
      </w:r>
    </w:p>
    <w:p w:rsidR="007F0317" w:rsidRDefault="007F0317" w:rsidP="00A7254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7F0317" w:rsidRDefault="007F0317" w:rsidP="00A7254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7F0317" w:rsidRDefault="007F0317" w:rsidP="00A7254B">
      <w:pPr>
        <w:spacing w:after="0" w:line="480" w:lineRule="auto"/>
        <w:contextualSpacing/>
        <w:jc w:val="center"/>
        <w:rPr>
          <w:rFonts w:ascii="Times New Roman" w:hAnsi="Times New Roman" w:cs="Times New Roman"/>
          <w:sz w:val="24"/>
          <w:szCs w:val="24"/>
        </w:rPr>
      </w:pPr>
    </w:p>
    <w:p w:rsidR="00A7254B" w:rsidRDefault="00A7254B">
      <w:pPr>
        <w:rPr>
          <w:rFonts w:ascii="Times New Roman" w:hAnsi="Times New Roman" w:cs="Times New Roman"/>
          <w:sz w:val="24"/>
          <w:szCs w:val="24"/>
        </w:rPr>
      </w:pPr>
      <w:r>
        <w:rPr>
          <w:rFonts w:ascii="Times New Roman" w:hAnsi="Times New Roman" w:cs="Times New Roman"/>
          <w:sz w:val="24"/>
          <w:szCs w:val="24"/>
        </w:rPr>
        <w:br w:type="page"/>
      </w:r>
    </w:p>
    <w:p w:rsidR="00E939D1" w:rsidRPr="00E939D1" w:rsidRDefault="00E939D1" w:rsidP="00A7254B">
      <w:pPr>
        <w:spacing w:after="0" w:line="480" w:lineRule="auto"/>
        <w:contextualSpacing/>
        <w:jc w:val="center"/>
        <w:rPr>
          <w:rFonts w:ascii="Times New Roman" w:hAnsi="Times New Roman" w:cs="Times New Roman"/>
          <w:sz w:val="24"/>
          <w:szCs w:val="24"/>
        </w:rPr>
      </w:pPr>
      <w:bookmarkStart w:id="0" w:name="_GoBack"/>
      <w:r w:rsidRPr="00E939D1">
        <w:rPr>
          <w:rFonts w:ascii="Times New Roman" w:hAnsi="Times New Roman" w:cs="Times New Roman"/>
          <w:sz w:val="24"/>
          <w:szCs w:val="24"/>
        </w:rPr>
        <w:lastRenderedPageBreak/>
        <w:t>Ancient Art</w:t>
      </w:r>
    </w:p>
    <w:bookmarkEnd w:id="0"/>
    <w:p w:rsidR="00E939D1" w:rsidRPr="00E939D1" w:rsidRDefault="00E939D1" w:rsidP="00A7254B">
      <w:pPr>
        <w:spacing w:after="0" w:line="480" w:lineRule="auto"/>
        <w:contextualSpacing/>
        <w:rPr>
          <w:rFonts w:ascii="Times New Roman" w:hAnsi="Times New Roman" w:cs="Times New Roman"/>
          <w:b/>
          <w:sz w:val="24"/>
          <w:szCs w:val="24"/>
        </w:rPr>
      </w:pPr>
      <w:r w:rsidRPr="00E939D1">
        <w:rPr>
          <w:rFonts w:ascii="Times New Roman" w:hAnsi="Times New Roman" w:cs="Times New Roman"/>
          <w:b/>
          <w:sz w:val="24"/>
          <w:szCs w:val="24"/>
        </w:rPr>
        <w:t xml:space="preserve">Ancient Art </w:t>
      </w:r>
    </w:p>
    <w:p w:rsidR="00E939D1" w:rsidRPr="00E939D1" w:rsidRDefault="00E939D1" w:rsidP="00A7254B">
      <w:pPr>
        <w:spacing w:after="0" w:line="480" w:lineRule="auto"/>
        <w:contextualSpacing/>
        <w:rPr>
          <w:rFonts w:ascii="Times New Roman" w:hAnsi="Times New Roman" w:cs="Times New Roman"/>
          <w:b/>
          <w:sz w:val="24"/>
          <w:szCs w:val="24"/>
        </w:rPr>
      </w:pPr>
      <w:r w:rsidRPr="00E939D1">
        <w:rPr>
          <w:rFonts w:ascii="Times New Roman" w:hAnsi="Times New Roman" w:cs="Times New Roman"/>
          <w:b/>
          <w:sz w:val="24"/>
          <w:szCs w:val="24"/>
        </w:rPr>
        <w:t xml:space="preserve">Similarities </w:t>
      </w:r>
      <w:r>
        <w:rPr>
          <w:rFonts w:ascii="Times New Roman" w:hAnsi="Times New Roman" w:cs="Times New Roman"/>
          <w:b/>
          <w:sz w:val="24"/>
          <w:szCs w:val="24"/>
        </w:rPr>
        <w:t>a</w:t>
      </w:r>
      <w:r w:rsidRPr="00E939D1">
        <w:rPr>
          <w:rFonts w:ascii="Times New Roman" w:hAnsi="Times New Roman" w:cs="Times New Roman"/>
          <w:b/>
          <w:sz w:val="24"/>
          <w:szCs w:val="24"/>
        </w:rPr>
        <w:t>nd Differences</w:t>
      </w:r>
    </w:p>
    <w:p w:rsidR="00E939D1" w:rsidRPr="00E939D1" w:rsidRDefault="00E939D1" w:rsidP="00A7254B">
      <w:pPr>
        <w:spacing w:after="0" w:line="480" w:lineRule="auto"/>
        <w:ind w:firstLine="720"/>
        <w:contextualSpacing/>
        <w:rPr>
          <w:rFonts w:ascii="Times New Roman" w:hAnsi="Times New Roman" w:cs="Times New Roman"/>
          <w:sz w:val="24"/>
          <w:szCs w:val="24"/>
        </w:rPr>
      </w:pPr>
      <w:r w:rsidRPr="00E939D1">
        <w:rPr>
          <w:rFonts w:ascii="Times New Roman" w:hAnsi="Times New Roman" w:cs="Times New Roman"/>
          <w:sz w:val="24"/>
          <w:szCs w:val="24"/>
        </w:rPr>
        <w:t>The Statue of Gudea, the Warka Vase and the Victoria Stele of Naram-Sin trace their origin in the Mesopotamia region. Statue of Gudea and the Warka vase were present in the same B.C era while the Victorian Stele of Naram-Sin gets discovered in the A.C period</w:t>
      </w:r>
      <w:r w:rsidR="007F0317" w:rsidRPr="007F0317">
        <w:rPr>
          <w:rFonts w:ascii="Times New Roman" w:hAnsi="Times New Roman" w:cs="Times New Roman"/>
          <w:color w:val="222222"/>
          <w:sz w:val="24"/>
          <w:szCs w:val="24"/>
          <w:shd w:val="clear" w:color="auto" w:fill="FFFFFF"/>
        </w:rPr>
        <w:t xml:space="preserve"> </w:t>
      </w:r>
      <w:r w:rsidR="007F0317">
        <w:rPr>
          <w:rFonts w:ascii="Times New Roman" w:hAnsi="Times New Roman" w:cs="Times New Roman"/>
          <w:color w:val="222222"/>
          <w:sz w:val="24"/>
          <w:szCs w:val="24"/>
          <w:shd w:val="clear" w:color="auto" w:fill="FFFFFF"/>
        </w:rPr>
        <w:t xml:space="preserve">(Begg, Dyck &amp; Urbrock, </w:t>
      </w:r>
      <w:r w:rsidR="007F0317" w:rsidRPr="007F0317">
        <w:rPr>
          <w:rFonts w:ascii="Times New Roman" w:hAnsi="Times New Roman" w:cs="Times New Roman"/>
          <w:color w:val="222222"/>
          <w:sz w:val="24"/>
          <w:szCs w:val="24"/>
          <w:shd w:val="clear" w:color="auto" w:fill="FFFFFF"/>
        </w:rPr>
        <w:t>2019)</w:t>
      </w:r>
      <w:r w:rsidRPr="00E939D1">
        <w:rPr>
          <w:rFonts w:ascii="Times New Roman" w:hAnsi="Times New Roman" w:cs="Times New Roman"/>
          <w:sz w:val="24"/>
          <w:szCs w:val="24"/>
        </w:rPr>
        <w:t xml:space="preserve">. The drawings in the two statues depicted of their social and economic activities. The first and second image shows a culture where Agriculture was the economic activity of the people. The third images are dominated by males with many weapons, portraying the main economic activity like hunting. The three pictures depicted a similar political structure in the three communities. From the statues, one can tell that the three villages had a conformed to a form of religion. Statue of Gudea is sculpture art while the other two appear as engraved on a precious stone. </w:t>
      </w:r>
    </w:p>
    <w:p w:rsidR="00E939D1" w:rsidRPr="00E939D1" w:rsidRDefault="00E939D1" w:rsidP="00A7254B">
      <w:pPr>
        <w:spacing w:after="0" w:line="480" w:lineRule="auto"/>
        <w:contextualSpacing/>
        <w:rPr>
          <w:rFonts w:ascii="Times New Roman" w:hAnsi="Times New Roman" w:cs="Times New Roman"/>
          <w:b/>
          <w:sz w:val="24"/>
          <w:szCs w:val="24"/>
        </w:rPr>
      </w:pPr>
      <w:r w:rsidRPr="00E939D1">
        <w:rPr>
          <w:rFonts w:ascii="Times New Roman" w:hAnsi="Times New Roman" w:cs="Times New Roman"/>
          <w:b/>
          <w:sz w:val="24"/>
          <w:szCs w:val="24"/>
        </w:rPr>
        <w:t>Symbolism</w:t>
      </w:r>
    </w:p>
    <w:p w:rsidR="00E939D1" w:rsidRPr="00E939D1" w:rsidRDefault="00E939D1" w:rsidP="00A7254B">
      <w:pPr>
        <w:spacing w:after="0" w:line="480" w:lineRule="auto"/>
        <w:ind w:firstLine="720"/>
        <w:contextualSpacing/>
        <w:rPr>
          <w:rFonts w:ascii="Times New Roman" w:hAnsi="Times New Roman" w:cs="Times New Roman"/>
          <w:sz w:val="24"/>
          <w:szCs w:val="24"/>
        </w:rPr>
      </w:pPr>
      <w:r w:rsidRPr="00E939D1">
        <w:rPr>
          <w:rFonts w:ascii="Times New Roman" w:hAnsi="Times New Roman" w:cs="Times New Roman"/>
          <w:sz w:val="24"/>
          <w:szCs w:val="24"/>
        </w:rPr>
        <w:t>The Statue of Gudea was present in the temple representing a god. His presence was a remaindered to people on the offering of sacrifices as the highest form of worship. The size, shape and drawing inscribed on the Warka vase represent a specific wedding ritual performed between the king and the Inanna goddess.</w:t>
      </w:r>
      <w:r w:rsidR="00B31A91">
        <w:rPr>
          <w:rFonts w:ascii="Times New Roman" w:hAnsi="Times New Roman" w:cs="Times New Roman"/>
          <w:sz w:val="24"/>
          <w:szCs w:val="24"/>
        </w:rPr>
        <w:t xml:space="preserve"> </w:t>
      </w:r>
      <w:r w:rsidRPr="00E939D1">
        <w:rPr>
          <w:rFonts w:ascii="Times New Roman" w:hAnsi="Times New Roman" w:cs="Times New Roman"/>
          <w:sz w:val="24"/>
          <w:szCs w:val="24"/>
        </w:rPr>
        <w:t xml:space="preserve">On the Victorian Stele of Naram, one can see a standing man holding a spear and other men beneath him. The man standing is the victorious king, who acts as the human intermediate to their star gods. </w:t>
      </w:r>
      <w:r w:rsidR="00B31A91">
        <w:rPr>
          <w:rFonts w:ascii="Times New Roman" w:hAnsi="Times New Roman" w:cs="Times New Roman"/>
          <w:sz w:val="24"/>
          <w:szCs w:val="24"/>
        </w:rPr>
        <w:t>The three arts depict the three communities as religious.</w:t>
      </w:r>
    </w:p>
    <w:p w:rsidR="00E939D1" w:rsidRPr="00E939D1" w:rsidRDefault="00E939D1" w:rsidP="00A7254B">
      <w:pPr>
        <w:spacing w:after="0" w:line="480" w:lineRule="auto"/>
        <w:ind w:firstLine="720"/>
        <w:contextualSpacing/>
        <w:rPr>
          <w:rFonts w:ascii="Times New Roman" w:hAnsi="Times New Roman" w:cs="Times New Roman"/>
          <w:sz w:val="24"/>
          <w:szCs w:val="24"/>
        </w:rPr>
      </w:pPr>
      <w:r w:rsidRPr="00E939D1">
        <w:rPr>
          <w:rFonts w:ascii="Times New Roman" w:hAnsi="Times New Roman" w:cs="Times New Roman"/>
          <w:sz w:val="24"/>
          <w:szCs w:val="24"/>
        </w:rPr>
        <w:t>The three arts are abstract and require explicit study of the Mesopotamia's cultural history. An example is the Warka Vase that has inscriptions showing an entire cultural ceremony. The dating of the art is ancient to the extent that one cannot decipher their meanings by the help of modern art</w:t>
      </w:r>
      <w:r w:rsidR="007F0317" w:rsidRPr="007F0317">
        <w:rPr>
          <w:rFonts w:ascii="Times New Roman" w:hAnsi="Times New Roman" w:cs="Times New Roman"/>
          <w:color w:val="222222"/>
          <w:sz w:val="24"/>
          <w:szCs w:val="24"/>
          <w:shd w:val="clear" w:color="auto" w:fill="FFFFFF"/>
        </w:rPr>
        <w:t xml:space="preserve"> </w:t>
      </w:r>
      <w:r w:rsidR="007F0317">
        <w:rPr>
          <w:rFonts w:ascii="Times New Roman" w:hAnsi="Times New Roman" w:cs="Times New Roman"/>
          <w:color w:val="222222"/>
          <w:sz w:val="24"/>
          <w:szCs w:val="24"/>
          <w:shd w:val="clear" w:color="auto" w:fill="FFFFFF"/>
        </w:rPr>
        <w:t xml:space="preserve">(Begg, Dyck, &amp; Urbrock, </w:t>
      </w:r>
      <w:r w:rsidR="007F0317" w:rsidRPr="007F0317">
        <w:rPr>
          <w:rFonts w:ascii="Times New Roman" w:hAnsi="Times New Roman" w:cs="Times New Roman"/>
          <w:color w:val="222222"/>
          <w:sz w:val="24"/>
          <w:szCs w:val="24"/>
          <w:shd w:val="clear" w:color="auto" w:fill="FFFFFF"/>
        </w:rPr>
        <w:t>2019)</w:t>
      </w:r>
      <w:r w:rsidRPr="00E939D1">
        <w:rPr>
          <w:rFonts w:ascii="Times New Roman" w:hAnsi="Times New Roman" w:cs="Times New Roman"/>
          <w:sz w:val="24"/>
          <w:szCs w:val="24"/>
        </w:rPr>
        <w:t xml:space="preserve">. Archaeological dating highly contributes to determining the era in which the artefacts existed. With an approximation of the dating, historians find the cultural activities and hence decipher the meaning of the arts. </w:t>
      </w: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7F0317" w:rsidRDefault="007F0317" w:rsidP="00E939D1">
      <w:pPr>
        <w:spacing w:line="480" w:lineRule="auto"/>
        <w:rPr>
          <w:rFonts w:ascii="Times New Roman" w:hAnsi="Times New Roman" w:cs="Times New Roman"/>
          <w:color w:val="222222"/>
          <w:sz w:val="24"/>
          <w:szCs w:val="24"/>
          <w:shd w:val="clear" w:color="auto" w:fill="FFFFFF"/>
        </w:rPr>
      </w:pPr>
    </w:p>
    <w:p w:rsidR="00A7254B" w:rsidRDefault="00A7254B">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7F0317" w:rsidRPr="007F0317" w:rsidRDefault="007F0317" w:rsidP="007F0317">
      <w:pPr>
        <w:spacing w:line="480" w:lineRule="auto"/>
        <w:jc w:val="center"/>
        <w:rPr>
          <w:rFonts w:ascii="Times New Roman" w:hAnsi="Times New Roman" w:cs="Times New Roman"/>
          <w:b/>
          <w:color w:val="222222"/>
          <w:sz w:val="24"/>
          <w:szCs w:val="24"/>
          <w:shd w:val="clear" w:color="auto" w:fill="FFFFFF"/>
        </w:rPr>
      </w:pPr>
      <w:r w:rsidRPr="007F0317">
        <w:rPr>
          <w:rFonts w:ascii="Times New Roman" w:hAnsi="Times New Roman" w:cs="Times New Roman"/>
          <w:b/>
          <w:color w:val="222222"/>
          <w:sz w:val="24"/>
          <w:szCs w:val="24"/>
          <w:shd w:val="clear" w:color="auto" w:fill="FFFFFF"/>
        </w:rPr>
        <w:t>Reference</w:t>
      </w:r>
      <w:r>
        <w:rPr>
          <w:rFonts w:ascii="Times New Roman" w:hAnsi="Times New Roman" w:cs="Times New Roman"/>
          <w:b/>
          <w:color w:val="222222"/>
          <w:sz w:val="24"/>
          <w:szCs w:val="24"/>
          <w:shd w:val="clear" w:color="auto" w:fill="FFFFFF"/>
        </w:rPr>
        <w:t>s</w:t>
      </w:r>
    </w:p>
    <w:p w:rsidR="00E939D1" w:rsidRPr="007F0317" w:rsidRDefault="00211D53" w:rsidP="00E939D1">
      <w:pPr>
        <w:spacing w:line="480" w:lineRule="auto"/>
        <w:rPr>
          <w:rFonts w:ascii="Times New Roman" w:hAnsi="Times New Roman" w:cs="Times New Roman"/>
          <w:color w:val="222222"/>
          <w:sz w:val="24"/>
          <w:szCs w:val="24"/>
          <w:shd w:val="clear" w:color="auto" w:fill="FFFFFF"/>
        </w:rPr>
      </w:pPr>
      <w:r w:rsidRPr="007F0317">
        <w:rPr>
          <w:rFonts w:ascii="Times New Roman" w:hAnsi="Times New Roman" w:cs="Times New Roman"/>
          <w:color w:val="222222"/>
          <w:sz w:val="24"/>
          <w:szCs w:val="24"/>
          <w:shd w:val="clear" w:color="auto" w:fill="FFFFFF"/>
        </w:rPr>
        <w:t>Begg, C. T., Dyck, A. W., &amp; Urbrock, W. J. (2019). The Anc</w:t>
      </w:r>
      <w:r w:rsidR="007F0317">
        <w:rPr>
          <w:rFonts w:ascii="Times New Roman" w:hAnsi="Times New Roman" w:cs="Times New Roman"/>
          <w:color w:val="222222"/>
          <w:sz w:val="24"/>
          <w:szCs w:val="24"/>
          <w:shd w:val="clear" w:color="auto" w:fill="FFFFFF"/>
        </w:rPr>
        <w:t>ient Near East: History, Texts,</w:t>
      </w:r>
      <w:r w:rsidR="007F0317">
        <w:rPr>
          <w:rFonts w:ascii="Times New Roman" w:hAnsi="Times New Roman" w:cs="Times New Roman"/>
          <w:color w:val="222222"/>
          <w:sz w:val="24"/>
          <w:szCs w:val="24"/>
          <w:shd w:val="clear" w:color="auto" w:fill="FFFFFF"/>
        </w:rPr>
        <w:tab/>
      </w:r>
      <w:r w:rsidRPr="007F0317">
        <w:rPr>
          <w:rFonts w:ascii="Times New Roman" w:hAnsi="Times New Roman" w:cs="Times New Roman"/>
          <w:color w:val="222222"/>
          <w:sz w:val="24"/>
          <w:szCs w:val="24"/>
          <w:shd w:val="clear" w:color="auto" w:fill="FFFFFF"/>
        </w:rPr>
        <w:t>etc. </w:t>
      </w:r>
      <w:r w:rsidRPr="007F0317">
        <w:rPr>
          <w:rFonts w:ascii="Times New Roman" w:hAnsi="Times New Roman" w:cs="Times New Roman"/>
          <w:i/>
          <w:iCs/>
          <w:color w:val="222222"/>
          <w:sz w:val="24"/>
          <w:szCs w:val="24"/>
          <w:shd w:val="clear" w:color="auto" w:fill="FFFFFF"/>
        </w:rPr>
        <w:t>Old Testament Abstracts</w:t>
      </w:r>
      <w:r w:rsidRPr="007F0317">
        <w:rPr>
          <w:rFonts w:ascii="Times New Roman" w:hAnsi="Times New Roman" w:cs="Times New Roman"/>
          <w:color w:val="222222"/>
          <w:sz w:val="24"/>
          <w:szCs w:val="24"/>
          <w:shd w:val="clear" w:color="auto" w:fill="FFFFFF"/>
        </w:rPr>
        <w:t>, </w:t>
      </w:r>
      <w:r w:rsidRPr="007F0317">
        <w:rPr>
          <w:rFonts w:ascii="Times New Roman" w:hAnsi="Times New Roman" w:cs="Times New Roman"/>
          <w:i/>
          <w:iCs/>
          <w:color w:val="222222"/>
          <w:sz w:val="24"/>
          <w:szCs w:val="24"/>
          <w:shd w:val="clear" w:color="auto" w:fill="FFFFFF"/>
        </w:rPr>
        <w:t>42</w:t>
      </w:r>
      <w:r w:rsidRPr="007F0317">
        <w:rPr>
          <w:rFonts w:ascii="Times New Roman" w:hAnsi="Times New Roman" w:cs="Times New Roman"/>
          <w:color w:val="222222"/>
          <w:sz w:val="24"/>
          <w:szCs w:val="24"/>
          <w:shd w:val="clear" w:color="auto" w:fill="FFFFFF"/>
        </w:rPr>
        <w:t>(1), 7-18.</w:t>
      </w:r>
    </w:p>
    <w:p w:rsidR="00211D53" w:rsidRPr="007F0317" w:rsidRDefault="00595E40" w:rsidP="00E939D1">
      <w:pPr>
        <w:spacing w:line="480" w:lineRule="auto"/>
        <w:rPr>
          <w:rFonts w:ascii="Times New Roman" w:hAnsi="Times New Roman" w:cs="Times New Roman"/>
          <w:sz w:val="24"/>
          <w:szCs w:val="24"/>
        </w:rPr>
      </w:pPr>
      <w:hyperlink r:id="rId7" w:history="1">
        <w:r w:rsidR="007F0317" w:rsidRPr="00D70171">
          <w:rPr>
            <w:rStyle w:val="Hyperlink"/>
            <w:rFonts w:ascii="Times New Roman" w:hAnsi="Times New Roman" w:cs="Times New Roman"/>
            <w:sz w:val="24"/>
            <w:szCs w:val="24"/>
            <w:shd w:val="clear" w:color="auto" w:fill="FFFFFF"/>
          </w:rPr>
          <w:t>https://www.historians.org/teaching-and-learning/teaching-resources-for-historians/teaching-and</w:t>
        </w:r>
      </w:hyperlink>
      <w:r w:rsidR="007F0317">
        <w:rPr>
          <w:rFonts w:ascii="Times New Roman" w:hAnsi="Times New Roman" w:cs="Times New Roman"/>
          <w:color w:val="000000"/>
          <w:sz w:val="24"/>
          <w:szCs w:val="24"/>
          <w:shd w:val="clear" w:color="auto" w:fill="FFFFFF"/>
        </w:rPr>
        <w:tab/>
      </w:r>
      <w:r w:rsidR="007F0317" w:rsidRPr="007F0317">
        <w:rPr>
          <w:rFonts w:ascii="Times New Roman" w:hAnsi="Times New Roman" w:cs="Times New Roman"/>
          <w:color w:val="000000"/>
          <w:sz w:val="24"/>
          <w:szCs w:val="24"/>
          <w:shd w:val="clear" w:color="auto" w:fill="FFFFFF"/>
        </w:rPr>
        <w:t>learning-in-the-digital-age/images-of-power-art-as-an-his</w:t>
      </w:r>
      <w:r w:rsidR="007F0317">
        <w:rPr>
          <w:rFonts w:ascii="Times New Roman" w:hAnsi="Times New Roman" w:cs="Times New Roman"/>
          <w:color w:val="000000"/>
          <w:sz w:val="24"/>
          <w:szCs w:val="24"/>
          <w:shd w:val="clear" w:color="auto" w:fill="FFFFFF"/>
        </w:rPr>
        <w:t>toriographic-tool/victory-stele</w:t>
      </w:r>
      <w:r w:rsidR="007F0317">
        <w:rPr>
          <w:rFonts w:ascii="Times New Roman" w:hAnsi="Times New Roman" w:cs="Times New Roman"/>
          <w:color w:val="000000"/>
          <w:sz w:val="24"/>
          <w:szCs w:val="24"/>
          <w:shd w:val="clear" w:color="auto" w:fill="FFFFFF"/>
        </w:rPr>
        <w:tab/>
      </w:r>
      <w:r w:rsidR="007F0317" w:rsidRPr="007F0317">
        <w:rPr>
          <w:rFonts w:ascii="Times New Roman" w:hAnsi="Times New Roman" w:cs="Times New Roman"/>
          <w:color w:val="000000"/>
          <w:sz w:val="24"/>
          <w:szCs w:val="24"/>
          <w:shd w:val="clear" w:color="auto" w:fill="FFFFFF"/>
        </w:rPr>
        <w:t>of-naram-sin</w:t>
      </w:r>
    </w:p>
    <w:p w:rsidR="00E939D1" w:rsidRPr="007F0317" w:rsidRDefault="00E939D1" w:rsidP="00E939D1">
      <w:pPr>
        <w:spacing w:line="480" w:lineRule="auto"/>
        <w:rPr>
          <w:rFonts w:ascii="Times New Roman" w:hAnsi="Times New Roman" w:cs="Times New Roman"/>
          <w:sz w:val="24"/>
          <w:szCs w:val="24"/>
        </w:rPr>
      </w:pPr>
    </w:p>
    <w:p w:rsidR="00E939D1" w:rsidRPr="00E939D1" w:rsidRDefault="00E939D1" w:rsidP="00E939D1">
      <w:pPr>
        <w:spacing w:line="480" w:lineRule="auto"/>
        <w:rPr>
          <w:rFonts w:ascii="Times New Roman" w:hAnsi="Times New Roman" w:cs="Times New Roman"/>
          <w:sz w:val="24"/>
          <w:szCs w:val="24"/>
        </w:rPr>
      </w:pPr>
    </w:p>
    <w:p w:rsidR="006E03E9" w:rsidRPr="00E939D1" w:rsidRDefault="006E03E9" w:rsidP="00E939D1">
      <w:pPr>
        <w:spacing w:line="480" w:lineRule="auto"/>
        <w:rPr>
          <w:rFonts w:ascii="Times New Roman" w:hAnsi="Times New Roman" w:cs="Times New Roman"/>
          <w:sz w:val="24"/>
          <w:szCs w:val="24"/>
        </w:rPr>
      </w:pPr>
    </w:p>
    <w:sectPr w:rsidR="006E03E9" w:rsidRPr="00E939D1" w:rsidSect="007F03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E40" w:rsidRDefault="00595E40" w:rsidP="007F0317">
      <w:pPr>
        <w:spacing w:after="0" w:line="240" w:lineRule="auto"/>
      </w:pPr>
      <w:r>
        <w:separator/>
      </w:r>
    </w:p>
  </w:endnote>
  <w:endnote w:type="continuationSeparator" w:id="0">
    <w:p w:rsidR="00595E40" w:rsidRDefault="00595E40" w:rsidP="007F0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E40" w:rsidRDefault="00595E40" w:rsidP="007F0317">
      <w:pPr>
        <w:spacing w:after="0" w:line="240" w:lineRule="auto"/>
      </w:pPr>
      <w:r>
        <w:separator/>
      </w:r>
    </w:p>
  </w:footnote>
  <w:footnote w:type="continuationSeparator" w:id="0">
    <w:p w:rsidR="00595E40" w:rsidRDefault="00595E40" w:rsidP="007F0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17" w:rsidRPr="007F0317" w:rsidRDefault="007F0317" w:rsidP="007F0317">
    <w:pPr>
      <w:pStyle w:val="Header"/>
      <w:jc w:val="right"/>
      <w:rPr>
        <w:rFonts w:ascii="Times New Roman" w:hAnsi="Times New Roman" w:cs="Times New Roman"/>
        <w:sz w:val="24"/>
        <w:szCs w:val="24"/>
      </w:rPr>
    </w:pPr>
    <w:r w:rsidRPr="007F0317">
      <w:rPr>
        <w:rFonts w:ascii="Times New Roman" w:hAnsi="Times New Roman" w:cs="Times New Roman"/>
        <w:sz w:val="24"/>
        <w:szCs w:val="24"/>
      </w:rPr>
      <w:t>ANCIENT ART</w:t>
    </w:r>
    <w:r w:rsidRPr="007F0317">
      <w:rPr>
        <w:rFonts w:ascii="Times New Roman" w:hAnsi="Times New Roman" w:cs="Times New Roman"/>
        <w:sz w:val="24"/>
        <w:szCs w:val="24"/>
      </w:rPr>
      <w:tab/>
    </w:r>
    <w:r w:rsidRPr="007F0317">
      <w:rPr>
        <w:rFonts w:ascii="Times New Roman" w:hAnsi="Times New Roman" w:cs="Times New Roman"/>
        <w:sz w:val="24"/>
        <w:szCs w:val="24"/>
      </w:rPr>
      <w:tab/>
    </w:r>
    <w:sdt>
      <w:sdtPr>
        <w:rPr>
          <w:rFonts w:ascii="Times New Roman" w:hAnsi="Times New Roman" w:cs="Times New Roman"/>
          <w:sz w:val="24"/>
          <w:szCs w:val="24"/>
        </w:rPr>
        <w:id w:val="2070845083"/>
        <w:docPartObj>
          <w:docPartGallery w:val="Page Numbers (Top of Page)"/>
          <w:docPartUnique/>
        </w:docPartObj>
      </w:sdtPr>
      <w:sdtEndPr>
        <w:rPr>
          <w:noProof/>
        </w:rPr>
      </w:sdtEndPr>
      <w:sdtContent>
        <w:r w:rsidRPr="007F0317">
          <w:rPr>
            <w:rFonts w:ascii="Times New Roman" w:hAnsi="Times New Roman" w:cs="Times New Roman"/>
            <w:sz w:val="24"/>
            <w:szCs w:val="24"/>
          </w:rPr>
          <w:fldChar w:fldCharType="begin"/>
        </w:r>
        <w:r w:rsidRPr="007F0317">
          <w:rPr>
            <w:rFonts w:ascii="Times New Roman" w:hAnsi="Times New Roman" w:cs="Times New Roman"/>
            <w:sz w:val="24"/>
            <w:szCs w:val="24"/>
          </w:rPr>
          <w:instrText xml:space="preserve"> PAGE   \* MERGEFORMAT </w:instrText>
        </w:r>
        <w:r w:rsidRPr="007F0317">
          <w:rPr>
            <w:rFonts w:ascii="Times New Roman" w:hAnsi="Times New Roman" w:cs="Times New Roman"/>
            <w:sz w:val="24"/>
            <w:szCs w:val="24"/>
          </w:rPr>
          <w:fldChar w:fldCharType="separate"/>
        </w:r>
        <w:r w:rsidR="00A7254B">
          <w:rPr>
            <w:rFonts w:ascii="Times New Roman" w:hAnsi="Times New Roman" w:cs="Times New Roman"/>
            <w:noProof/>
            <w:sz w:val="24"/>
            <w:szCs w:val="24"/>
          </w:rPr>
          <w:t>2</w:t>
        </w:r>
        <w:r w:rsidRPr="007F031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253557"/>
      <w:docPartObj>
        <w:docPartGallery w:val="Page Numbers (Top of Page)"/>
        <w:docPartUnique/>
      </w:docPartObj>
    </w:sdtPr>
    <w:sdtEndPr>
      <w:rPr>
        <w:noProof/>
      </w:rPr>
    </w:sdtEndPr>
    <w:sdtContent>
      <w:p w:rsidR="007F0317" w:rsidRPr="007F0317" w:rsidRDefault="007F0317" w:rsidP="007F0317">
        <w:pPr>
          <w:pStyle w:val="Header"/>
          <w:jc w:val="right"/>
          <w:rPr>
            <w:rFonts w:ascii="Times New Roman" w:hAnsi="Times New Roman" w:cs="Times New Roman"/>
            <w:sz w:val="24"/>
            <w:szCs w:val="24"/>
          </w:rPr>
        </w:pPr>
        <w:r w:rsidRPr="007F0317">
          <w:rPr>
            <w:rFonts w:ascii="Times New Roman" w:hAnsi="Times New Roman" w:cs="Times New Roman"/>
            <w:sz w:val="24"/>
            <w:szCs w:val="24"/>
          </w:rPr>
          <w:t>Running head: ANCIENT ART</w:t>
        </w:r>
        <w:r w:rsidRPr="007F0317">
          <w:rPr>
            <w:rFonts w:ascii="Times New Roman" w:hAnsi="Times New Roman" w:cs="Times New Roman"/>
            <w:sz w:val="24"/>
            <w:szCs w:val="24"/>
          </w:rPr>
          <w:tab/>
        </w:r>
        <w:r w:rsidRPr="007F0317">
          <w:rPr>
            <w:rFonts w:ascii="Times New Roman" w:hAnsi="Times New Roman" w:cs="Times New Roman"/>
            <w:sz w:val="24"/>
            <w:szCs w:val="24"/>
          </w:rPr>
          <w:tab/>
        </w:r>
        <w:r w:rsidRPr="007F0317">
          <w:rPr>
            <w:rFonts w:ascii="Times New Roman" w:hAnsi="Times New Roman" w:cs="Times New Roman"/>
            <w:sz w:val="24"/>
            <w:szCs w:val="24"/>
          </w:rPr>
          <w:fldChar w:fldCharType="begin"/>
        </w:r>
        <w:r w:rsidRPr="007F0317">
          <w:rPr>
            <w:rFonts w:ascii="Times New Roman" w:hAnsi="Times New Roman" w:cs="Times New Roman"/>
            <w:sz w:val="24"/>
            <w:szCs w:val="24"/>
          </w:rPr>
          <w:instrText xml:space="preserve"> PAGE   \* MERGEFORMAT </w:instrText>
        </w:r>
        <w:r w:rsidRPr="007F0317">
          <w:rPr>
            <w:rFonts w:ascii="Times New Roman" w:hAnsi="Times New Roman" w:cs="Times New Roman"/>
            <w:sz w:val="24"/>
            <w:szCs w:val="24"/>
          </w:rPr>
          <w:fldChar w:fldCharType="separate"/>
        </w:r>
        <w:r w:rsidR="00595E40">
          <w:rPr>
            <w:rFonts w:ascii="Times New Roman" w:hAnsi="Times New Roman" w:cs="Times New Roman"/>
            <w:noProof/>
            <w:sz w:val="24"/>
            <w:szCs w:val="24"/>
          </w:rPr>
          <w:t>1</w:t>
        </w:r>
        <w:r w:rsidRPr="007F031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3E9"/>
    <w:rsid w:val="0014403F"/>
    <w:rsid w:val="00211D53"/>
    <w:rsid w:val="002D4827"/>
    <w:rsid w:val="004A550E"/>
    <w:rsid w:val="00595E40"/>
    <w:rsid w:val="00670ABB"/>
    <w:rsid w:val="006E03E9"/>
    <w:rsid w:val="007F0317"/>
    <w:rsid w:val="008D0A6E"/>
    <w:rsid w:val="00A7254B"/>
    <w:rsid w:val="00B31A91"/>
    <w:rsid w:val="00E66263"/>
    <w:rsid w:val="00E8382A"/>
    <w:rsid w:val="00E939D1"/>
    <w:rsid w:val="00FF1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317"/>
    <w:rPr>
      <w:color w:val="0563C1" w:themeColor="hyperlink"/>
      <w:u w:val="single"/>
    </w:rPr>
  </w:style>
  <w:style w:type="paragraph" w:styleId="Header">
    <w:name w:val="header"/>
    <w:basedOn w:val="Normal"/>
    <w:link w:val="HeaderChar"/>
    <w:uiPriority w:val="99"/>
    <w:unhideWhenUsed/>
    <w:rsid w:val="007F0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317"/>
  </w:style>
  <w:style w:type="paragraph" w:styleId="Footer">
    <w:name w:val="footer"/>
    <w:basedOn w:val="Normal"/>
    <w:link w:val="FooterChar"/>
    <w:uiPriority w:val="99"/>
    <w:unhideWhenUsed/>
    <w:rsid w:val="007F0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3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317"/>
    <w:rPr>
      <w:color w:val="0563C1" w:themeColor="hyperlink"/>
      <w:u w:val="single"/>
    </w:rPr>
  </w:style>
  <w:style w:type="paragraph" w:styleId="Header">
    <w:name w:val="header"/>
    <w:basedOn w:val="Normal"/>
    <w:link w:val="HeaderChar"/>
    <w:uiPriority w:val="99"/>
    <w:unhideWhenUsed/>
    <w:rsid w:val="007F0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317"/>
  </w:style>
  <w:style w:type="paragraph" w:styleId="Footer">
    <w:name w:val="footer"/>
    <w:basedOn w:val="Normal"/>
    <w:link w:val="FooterChar"/>
    <w:uiPriority w:val="99"/>
    <w:unhideWhenUsed/>
    <w:rsid w:val="007F0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istorians.org/teaching-and-learning/teaching-resources-for-historians/teaching-an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2019-09-17T23:43:00Z</dcterms:created>
  <dcterms:modified xsi:type="dcterms:W3CDTF">2019-09-17T23:43:00Z</dcterms:modified>
</cp:coreProperties>
</file>